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A660" w14:textId="77777777" w:rsidR="00127EE2" w:rsidRPr="00995EC4" w:rsidRDefault="00127EE2" w:rsidP="00127EE2">
      <w:pPr>
        <w:pStyle w:val="Heading3"/>
        <w:rPr>
          <w:sz w:val="24"/>
          <w:szCs w:val="24"/>
        </w:rPr>
      </w:pPr>
      <w:r w:rsidRPr="00995EC4">
        <w:rPr>
          <w:sz w:val="24"/>
          <w:szCs w:val="24"/>
        </w:rPr>
        <w:t>4. Diagnostics for best model</w:t>
      </w:r>
    </w:p>
    <w:p w14:paraId="5DA265D9" w14:textId="77777777" w:rsidR="00127EE2" w:rsidRPr="00995EC4" w:rsidRDefault="00127EE2" w:rsidP="00127EE2">
      <w:pPr>
        <w:pStyle w:val="Heading5"/>
        <w:rPr>
          <w:sz w:val="22"/>
          <w:szCs w:val="22"/>
        </w:rPr>
      </w:pPr>
      <w:bookmarkStart w:id="0" w:name="equation-for-final-model"/>
      <w:r w:rsidRPr="00995EC4">
        <w:rPr>
          <w:sz w:val="22"/>
          <w:szCs w:val="22"/>
        </w:rPr>
        <w:t>Equation for final model</w:t>
      </w:r>
    </w:p>
    <w:p w14:paraId="3A2A1FC8" w14:textId="77777777" w:rsidR="00127EE2" w:rsidRPr="00995EC4" w:rsidRDefault="00127EE2" w:rsidP="00127EE2">
      <w:pPr>
        <w:pStyle w:val="FirstParagraph"/>
        <w:rPr>
          <w:rFonts w:eastAsiaTheme="majorEastAsia" w:cstheme="majorBidi"/>
          <w:sz w:val="22"/>
          <w:szCs w:val="22"/>
        </w:rPr>
      </w:pPr>
      <w:bookmarkStart w:id="1" w:name="model-assumptions"/>
      <w:bookmarkEnd w:id="0"/>
      <m:oMathPara>
        <m:oMath>
          <m:r>
            <w:rPr>
              <w:rFonts w:ascii="Cambria Math" w:hAnsi="Cambria Math"/>
              <w:sz w:val="22"/>
              <w:szCs w:val="22"/>
            </w:rPr>
            <m:t>y 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GL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</m:oMath>
      </m:oMathPara>
    </w:p>
    <w:p w14:paraId="7D120F59" w14:textId="77777777" w:rsidR="00127EE2" w:rsidRPr="00995EC4" w:rsidRDefault="00127EE2" w:rsidP="00127EE2">
      <w:pPr>
        <w:pStyle w:val="FirstParagraph"/>
        <w:rPr>
          <w:sz w:val="22"/>
          <w:szCs w:val="22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</w:rPr>
                <m:t>'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</w:rPr>
                <m:t>'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GL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</w:rPr>
                <m:t>'</m:t>
              </m:r>
            </m:sup>
          </m:sSubSup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</m:d>
            </m:e>
          </m:d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 +</m:t>
          </m:r>
          <m:r>
            <w:rPr>
              <w:rFonts w:ascii="Cambria Math" w:hAnsi="Cambria Math"/>
              <w:sz w:val="22"/>
              <w:szCs w:val="22"/>
            </w:rPr>
            <m:t>ϵ</m:t>
          </m:r>
          <m:r>
            <w:rPr>
              <w:rFonts w:ascii="Cambria Math" w:hAnsi="Cambria Math"/>
              <w:sz w:val="22"/>
              <w:szCs w:val="22"/>
            </w:rPr>
            <m:t xml:space="preserve"> </m:t>
          </m:r>
        </m:oMath>
      </m:oMathPara>
    </w:p>
    <w:p w14:paraId="38E3C56A" w14:textId="77777777" w:rsidR="00127EE2" w:rsidRPr="00995EC4" w:rsidRDefault="00127EE2" w:rsidP="00127EE2">
      <w:pPr>
        <w:pStyle w:val="Heading5"/>
        <w:rPr>
          <w:sz w:val="22"/>
          <w:szCs w:val="22"/>
        </w:rPr>
      </w:pPr>
      <w:r w:rsidRPr="00995EC4">
        <w:rPr>
          <w:sz w:val="22"/>
          <w:szCs w:val="22"/>
        </w:rPr>
        <w:t>Model assumptions</w:t>
      </w:r>
    </w:p>
    <w:p w14:paraId="1519458F" w14:textId="77777777" w:rsidR="00127EE2" w:rsidRPr="00995EC4" w:rsidRDefault="00127EE2" w:rsidP="00127EE2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>There are four main assumptions in regression models</w:t>
      </w:r>
    </w:p>
    <w:p w14:paraId="058E2E75" w14:textId="77777777" w:rsidR="00127EE2" w:rsidRPr="00995EC4" w:rsidRDefault="00127EE2" w:rsidP="00127EE2">
      <w:pPr>
        <w:numPr>
          <w:ilvl w:val="0"/>
          <w:numId w:val="1"/>
        </w:numPr>
        <w:rPr>
          <w:sz w:val="22"/>
          <w:szCs w:val="22"/>
        </w:rPr>
      </w:pPr>
      <w:r w:rsidRPr="00995EC4">
        <w:rPr>
          <w:sz w:val="22"/>
          <w:szCs w:val="22"/>
        </w:rPr>
        <w:t>The residuals (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ϵ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Pr="00995EC4">
        <w:rPr>
          <w:sz w:val="22"/>
          <w:szCs w:val="22"/>
        </w:rPr>
        <w:t xml:space="preserve">’s) are iid (independent and identically distributed), i.e., </w:t>
      </w:r>
      <m:oMath>
        <m:r>
          <w:rPr>
            <w:rFonts w:ascii="Cambria Math" w:hAnsi="Cambria Math"/>
            <w:sz w:val="22"/>
            <w:szCs w:val="22"/>
          </w:rPr>
          <m:t>Cov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j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0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;∀</m:t>
        </m:r>
        <m:r>
          <w:rPr>
            <w:rFonts w:ascii="Cambria Math" w:hAnsi="Cambria Math"/>
            <w:sz w:val="22"/>
            <w:szCs w:val="22"/>
          </w:rPr>
          <m:t>i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≠</m:t>
        </m:r>
        <m:r>
          <w:rPr>
            <w:rFonts w:ascii="Cambria Math" w:hAnsi="Cambria Math"/>
            <w:sz w:val="22"/>
            <w:szCs w:val="22"/>
          </w:rPr>
          <m:t>j</m:t>
        </m:r>
      </m:oMath>
      <w:r w:rsidRPr="00995EC4">
        <w:rPr>
          <w:sz w:val="22"/>
          <w:szCs w:val="22"/>
        </w:rPr>
        <w:t>.</w:t>
      </w:r>
    </w:p>
    <w:p w14:paraId="3A98F820" w14:textId="77777777" w:rsidR="00127EE2" w:rsidRPr="00995EC4" w:rsidRDefault="00127EE2" w:rsidP="00127EE2">
      <w:pPr>
        <w:numPr>
          <w:ilvl w:val="0"/>
          <w:numId w:val="1"/>
        </w:numPr>
        <w:rPr>
          <w:sz w:val="22"/>
          <w:szCs w:val="22"/>
        </w:rPr>
      </w:pPr>
      <w:r w:rsidRPr="00995EC4">
        <w:rPr>
          <w:sz w:val="22"/>
          <w:szCs w:val="22"/>
        </w:rPr>
        <w:t>The residuals are normally distributed.</w:t>
      </w:r>
    </w:p>
    <w:p w14:paraId="1973B141" w14:textId="77777777" w:rsidR="00127EE2" w:rsidRPr="00995EC4" w:rsidRDefault="00127EE2" w:rsidP="00127EE2">
      <w:pPr>
        <w:numPr>
          <w:ilvl w:val="0"/>
          <w:numId w:val="1"/>
        </w:numPr>
        <w:rPr>
          <w:sz w:val="22"/>
          <w:szCs w:val="22"/>
        </w:rPr>
      </w:pPr>
      <w:r w:rsidRPr="00995EC4">
        <w:rPr>
          <w:sz w:val="22"/>
          <w:szCs w:val="22"/>
        </w:rPr>
        <w:t xml:space="preserve">The residuals have a mean of 0, i.e., </w:t>
      </w:r>
      <m:oMath>
        <m:r>
          <w:rPr>
            <w:rFonts w:ascii="Cambria Math" w:hAnsi="Cambria Math"/>
            <w:sz w:val="22"/>
            <w:szCs w:val="22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ϵ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0</m:t>
        </m:r>
      </m:oMath>
      <w:r w:rsidRPr="00995EC4">
        <w:rPr>
          <w:sz w:val="22"/>
          <w:szCs w:val="22"/>
        </w:rPr>
        <w:t xml:space="preserve">, alternatively this implies that </w:t>
      </w:r>
      <m:oMath>
        <m:r>
          <w:rPr>
            <w:rFonts w:ascii="Cambria Math" w:hAnsi="Cambria Math"/>
            <w:sz w:val="22"/>
            <w:szCs w:val="22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Xβ</m:t>
        </m:r>
      </m:oMath>
    </w:p>
    <w:p w14:paraId="0663C4FC" w14:textId="77777777" w:rsidR="00127EE2" w:rsidRPr="00995EC4" w:rsidRDefault="00127EE2" w:rsidP="00127EE2">
      <w:pPr>
        <w:numPr>
          <w:ilvl w:val="0"/>
          <w:numId w:val="1"/>
        </w:numPr>
        <w:rPr>
          <w:sz w:val="22"/>
          <w:szCs w:val="22"/>
        </w:rPr>
      </w:pPr>
      <w:r w:rsidRPr="00995EC4">
        <w:rPr>
          <w:sz w:val="22"/>
          <w:szCs w:val="22"/>
        </w:rPr>
        <w:t xml:space="preserve">The residuals are homoscedastic and have constant variance, i.e., </w:t>
      </w:r>
      <m:oMath>
        <m:r>
          <w:rPr>
            <w:rFonts w:ascii="Cambria Math" w:hAnsi="Cambria Math"/>
            <w:sz w:val="22"/>
            <w:szCs w:val="22"/>
          </w:rPr>
          <m:t>Var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ϵ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σ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</w:p>
    <w:p w14:paraId="3C88BE21" w14:textId="77777777" w:rsidR="00127EE2" w:rsidRPr="00995EC4" w:rsidRDefault="00127EE2" w:rsidP="00127EE2">
      <w:pPr>
        <w:pStyle w:val="FirstParagraph"/>
        <w:rPr>
          <w:sz w:val="22"/>
          <w:szCs w:val="22"/>
        </w:rPr>
      </w:pPr>
      <w:r w:rsidRPr="00995EC4">
        <w:rPr>
          <w:sz w:val="22"/>
          <w:szCs w:val="22"/>
        </w:rPr>
        <w:t xml:space="preserve">These can </w:t>
      </w:r>
      <w:proofErr w:type="spellStart"/>
      <w:r w:rsidRPr="00995EC4">
        <w:rPr>
          <w:sz w:val="22"/>
          <w:szCs w:val="22"/>
        </w:rPr>
        <w:t>summarised</w:t>
      </w:r>
      <w:proofErr w:type="spellEnd"/>
      <w:r w:rsidRPr="00995EC4">
        <w:rPr>
          <w:sz w:val="22"/>
          <w:szCs w:val="22"/>
        </w:rPr>
        <w:t xml:space="preserve"> in a single statement as follows</w:t>
      </w:r>
    </w:p>
    <w:p w14:paraId="64F2D5DF" w14:textId="77777777" w:rsidR="00127EE2" w:rsidRPr="00995EC4" w:rsidRDefault="00127EE2" w:rsidP="00127EE2">
      <w:pPr>
        <w:pStyle w:val="BodyText"/>
        <w:rPr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2"/>
              <w:szCs w:val="22"/>
            </w:rPr>
            <m:t>ϵ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∼</m:t>
          </m:r>
          <m:r>
            <w:rPr>
              <w:rFonts w:ascii="Cambria Math" w:hAnsi="Cambria Math"/>
              <w:sz w:val="22"/>
              <w:szCs w:val="22"/>
            </w:rPr>
            <m:t>N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I</m:t>
              </m:r>
            </m:e>
          </m:d>
          <m:r>
            <w:rPr>
              <w:rFonts w:ascii="Cambria Math" w:hAnsi="Cambria Math"/>
              <w:sz w:val="22"/>
              <w:szCs w:val="22"/>
            </w:rPr>
            <m:t> 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&amp;</m:t>
          </m:r>
          <m:r>
            <w:rPr>
              <w:rFonts w:ascii="Cambria Math" w:hAnsi="Cambria Math"/>
              <w:sz w:val="22"/>
              <w:szCs w:val="22"/>
            </w:rPr>
            <m:t> Cov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j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r>
            <w:rPr>
              <w:rFonts w:ascii="Cambria Math" w:hAnsi="Cambria Math"/>
              <w:sz w:val="22"/>
              <w:szCs w:val="22"/>
            </w:rPr>
            <m:t>0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;∀</m:t>
          </m:r>
          <m:r>
            <w:rPr>
              <w:rFonts w:ascii="Cambria Math" w:hAnsi="Cambria Math"/>
              <w:sz w:val="22"/>
              <w:szCs w:val="22"/>
            </w:rPr>
            <m:t>i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≠</m:t>
          </m:r>
          <m:r>
            <w:rPr>
              <w:rFonts w:ascii="Cambria Math" w:hAnsi="Cambria Math"/>
              <w:sz w:val="22"/>
              <w:szCs w:val="22"/>
            </w:rPr>
            <m:t>j</m:t>
          </m:r>
        </m:oMath>
      </m:oMathPara>
    </w:p>
    <w:p w14:paraId="5303BCB4" w14:textId="77777777" w:rsidR="00127EE2" w:rsidRPr="00995EC4" w:rsidRDefault="00127EE2" w:rsidP="00127EE2">
      <w:pPr>
        <w:pStyle w:val="Heading5"/>
        <w:rPr>
          <w:sz w:val="22"/>
          <w:szCs w:val="22"/>
        </w:rPr>
      </w:pPr>
      <w:bookmarkStart w:id="2" w:name="assessing-model-diagnostics"/>
      <w:bookmarkEnd w:id="1"/>
      <w:r w:rsidRPr="00995EC4">
        <w:rPr>
          <w:sz w:val="22"/>
          <w:szCs w:val="22"/>
        </w:rPr>
        <w:t>Assessing model diagnostics</w:t>
      </w:r>
    </w:p>
    <w:p w14:paraId="516B266C" w14:textId="77777777" w:rsidR="00127EE2" w:rsidRPr="00995EC4" w:rsidRDefault="00127EE2" w:rsidP="00127EE2">
      <w:pPr>
        <w:pStyle w:val="SourceCode"/>
        <w:rPr>
          <w:szCs w:val="22"/>
        </w:rPr>
      </w:pPr>
      <w:r w:rsidRPr="00995EC4">
        <w:rPr>
          <w:rStyle w:val="CommentTok"/>
          <w:sz w:val="20"/>
          <w:szCs w:val="22"/>
        </w:rPr>
        <w:t xml:space="preserve"># The </w:t>
      </w:r>
      <w:proofErr w:type="spellStart"/>
      <w:r w:rsidRPr="00995EC4">
        <w:rPr>
          <w:rStyle w:val="CommentTok"/>
          <w:sz w:val="20"/>
          <w:szCs w:val="22"/>
        </w:rPr>
        <w:t>model_diagnostics</w:t>
      </w:r>
      <w:proofErr w:type="spellEnd"/>
      <w:r w:rsidRPr="00995EC4">
        <w:rPr>
          <w:rStyle w:val="CommentTok"/>
          <w:sz w:val="20"/>
          <w:szCs w:val="22"/>
        </w:rPr>
        <w:t xml:space="preserve"> function from </w:t>
      </w:r>
      <w:proofErr w:type="spellStart"/>
      <w:r w:rsidRPr="00995EC4">
        <w:rPr>
          <w:rStyle w:val="CommentTok"/>
          <w:sz w:val="20"/>
          <w:szCs w:val="22"/>
        </w:rPr>
        <w:t>DImodelsVis</w:t>
      </w:r>
      <w:proofErr w:type="spellEnd"/>
      <w:r w:rsidRPr="00995EC4">
        <w:rPr>
          <w:rStyle w:val="CommentTok"/>
          <w:sz w:val="20"/>
          <w:szCs w:val="22"/>
        </w:rPr>
        <w:t xml:space="preserve"> can be used for assessing the model assumptions for a </w:t>
      </w:r>
      <w:proofErr w:type="spellStart"/>
      <w:r w:rsidRPr="00995EC4">
        <w:rPr>
          <w:rStyle w:val="CommentTok"/>
          <w:sz w:val="20"/>
          <w:szCs w:val="22"/>
        </w:rPr>
        <w:t>DImodel</w:t>
      </w:r>
      <w:proofErr w:type="spellEnd"/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The model parameter accepts a fitted regression model object</w:t>
      </w:r>
      <w:r w:rsidRPr="00995EC4">
        <w:rPr>
          <w:szCs w:val="22"/>
        </w:rPr>
        <w:br/>
      </w:r>
      <w:proofErr w:type="spellStart"/>
      <w:r w:rsidRPr="00995EC4">
        <w:rPr>
          <w:rStyle w:val="FunctionTok"/>
          <w:sz w:val="20"/>
          <w:szCs w:val="22"/>
        </w:rPr>
        <w:t>model_diagnostics</w:t>
      </w:r>
      <w:proofErr w:type="spellEnd"/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model =</w:t>
      </w:r>
      <w:r w:rsidRPr="00995EC4">
        <w:rPr>
          <w:rStyle w:val="NormalTok"/>
          <w:sz w:val="20"/>
          <w:szCs w:val="22"/>
        </w:rPr>
        <w:t xml:space="preserve"> mod4)</w:t>
      </w:r>
    </w:p>
    <w:bookmarkEnd w:id="2"/>
    <w:p w14:paraId="7E2D6F05" w14:textId="77777777" w:rsidR="007D211F" w:rsidRPr="00127EE2" w:rsidRDefault="007D211F">
      <w:pPr>
        <w:rPr>
          <w:lang w:val="en-IE"/>
        </w:rPr>
      </w:pPr>
    </w:p>
    <w:sectPr w:rsidR="007D211F" w:rsidRPr="00127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9411"/>
    <w:multiLevelType w:val="multilevel"/>
    <w:tmpl w:val="BC56D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23777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E2"/>
    <w:rsid w:val="00127EE2"/>
    <w:rsid w:val="00705730"/>
    <w:rsid w:val="007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0BB4"/>
  <w15:chartTrackingRefBased/>
  <w15:docId w15:val="{4C06F620-10CF-43B2-A618-3C539EDE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E2"/>
    <w:pPr>
      <w:spacing w:after="200" w:line="240" w:lineRule="auto"/>
    </w:pPr>
    <w:rPr>
      <w:kern w:val="0"/>
      <w:lang w:val="en-US"/>
      <w14:ligatures w14:val="none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127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127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27EE2"/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27EE2"/>
    <w:rPr>
      <w:rFonts w:eastAsiaTheme="majorEastAsia" w:cstheme="majorBidi"/>
      <w:color w:val="0F4761" w:themeColor="accent1" w:themeShade="BF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qFormat/>
    <w:rsid w:val="00127EE2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127EE2"/>
    <w:rPr>
      <w:kern w:val="0"/>
      <w:lang w:val="en-US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127EE2"/>
  </w:style>
  <w:style w:type="character" w:customStyle="1" w:styleId="VerbatimChar">
    <w:name w:val="Verbatim Char"/>
    <w:basedOn w:val="DefaultParagraphFont"/>
    <w:link w:val="SourceCode"/>
    <w:rsid w:val="00127EE2"/>
    <w:rPr>
      <w:rFonts w:ascii="Consolas" w:hAnsi="Consolas"/>
      <w:sz w:val="22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127EE2"/>
    <w:pPr>
      <w:shd w:val="clear" w:color="auto" w:fill="F8F8F8"/>
      <w:wordWrap w:val="0"/>
    </w:pPr>
    <w:rPr>
      <w:rFonts w:ascii="Consolas" w:hAnsi="Consolas"/>
      <w:kern w:val="2"/>
      <w:sz w:val="22"/>
      <w:lang w:val="en-IE"/>
      <w14:ligatures w14:val="standardContextual"/>
    </w:rPr>
  </w:style>
  <w:style w:type="character" w:customStyle="1" w:styleId="CommentTok">
    <w:name w:val="CommentTok"/>
    <w:basedOn w:val="VerbatimChar"/>
    <w:rsid w:val="00127EE2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sid w:val="00127EE2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AttributeTok">
    <w:name w:val="AttributeTok"/>
    <w:basedOn w:val="VerbatimChar"/>
    <w:rsid w:val="00127EE2"/>
    <w:rPr>
      <w:rFonts w:ascii="Consolas" w:hAnsi="Consolas"/>
      <w:color w:val="204A87"/>
      <w:sz w:val="22"/>
      <w:shd w:val="clear" w:color="auto" w:fill="F8F8F8"/>
    </w:rPr>
  </w:style>
  <w:style w:type="character" w:customStyle="1" w:styleId="NormalTok">
    <w:name w:val="NormalTok"/>
    <w:basedOn w:val="VerbatimChar"/>
    <w:rsid w:val="00127EE2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Rishabh Vishwakarma</dc:creator>
  <cp:keywords/>
  <dc:description/>
  <cp:lastModifiedBy>Rishabh Vishwakarma</cp:lastModifiedBy>
  <cp:revision>1</cp:revision>
  <dcterms:created xsi:type="dcterms:W3CDTF">2025-01-08T20:21:00Z</dcterms:created>
  <dcterms:modified xsi:type="dcterms:W3CDTF">2025-01-08T20:21:00Z</dcterms:modified>
</cp:coreProperties>
</file>